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4C8012D3"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EndPr/>
        <w:sdtContent>
          <w:r w:rsidR="00B531B8">
            <w:rPr>
              <w:sz w:val="24"/>
              <w:szCs w:val="24"/>
              <w:lang w:val="lv-LV" w:bidi="lv-LV"/>
            </w:rPr>
            <w:t>3</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C200F0" w:rsidP="00742710">
      <w:pPr>
        <w:pStyle w:val="SLONormal"/>
        <w:rPr>
          <w:noProof w:val="0"/>
          <w:lang w:val="lv-LV" w:bidi="lv-LV"/>
        </w:rPr>
      </w:pPr>
      <w:sdt>
        <w:sdtPr>
          <w:rPr>
            <w:noProof w:val="0"/>
            <w:lang w:val="lv-LV" w:bidi="lv-LV"/>
          </w:rPr>
          <w:id w:val="1378895534"/>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17C15EDF"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7923BF7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4B1E2C2D"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29937089" w:rsidR="00086201" w:rsidRPr="003B67C3" w:rsidRDefault="00BB0D70" w:rsidP="003B67C3">
      <w:pPr>
        <w:pStyle w:val="ListParagraph"/>
        <w:numPr>
          <w:ilvl w:val="1"/>
          <w:numId w:val="13"/>
        </w:numPr>
        <w:spacing w:before="120" w:after="120"/>
        <w:jc w:val="both"/>
        <w:rPr>
          <w:sz w:val="24"/>
          <w:szCs w:val="24"/>
          <w:lang w:val="lv-LV"/>
        </w:rPr>
      </w:pPr>
      <w:bookmarkStart w:id="1" w:name="_Ref76641822"/>
      <w:r w:rsidRPr="003B67C3">
        <w:rPr>
          <w:sz w:val="24"/>
          <w:szCs w:val="24"/>
          <w:lang w:val="lv-LV" w:bidi="lv-LV"/>
        </w:rPr>
        <w:t xml:space="preserve">Ja </w:t>
      </w:r>
      <w:r w:rsidR="00B25D70" w:rsidRPr="003B67C3">
        <w:rPr>
          <w:sz w:val="24"/>
          <w:szCs w:val="24"/>
          <w:lang w:val="lv-LV" w:bidi="lv-LV"/>
        </w:rPr>
        <w:t>Klientam</w:t>
      </w:r>
      <w:r w:rsidRPr="003B67C3">
        <w:rPr>
          <w:sz w:val="24"/>
          <w:szCs w:val="24"/>
          <w:lang w:val="lv-LV" w:bidi="lv-LV"/>
        </w:rPr>
        <w:t xml:space="preserve"> rodas</w:t>
      </w:r>
      <w:r w:rsidR="001B75F1" w:rsidRPr="003B67C3">
        <w:rPr>
          <w:sz w:val="24"/>
          <w:szCs w:val="24"/>
          <w:lang w:val="lv-LV" w:bidi="lv-LV"/>
        </w:rPr>
        <w:t xml:space="preserve"> saprātīgi pamatotas</w:t>
      </w:r>
      <w:r w:rsidRPr="003B67C3">
        <w:rPr>
          <w:sz w:val="24"/>
          <w:szCs w:val="24"/>
          <w:lang w:val="lv-LV" w:bidi="lv-LV"/>
        </w:rPr>
        <w:t xml:space="preserve"> šaubas par Līguma </w:t>
      </w:r>
      <w:r w:rsidR="00EC2B2B" w:rsidRPr="003B67C3">
        <w:rPr>
          <w:sz w:val="24"/>
          <w:szCs w:val="24"/>
          <w:lang w:val="lv-LV" w:bidi="lv-LV"/>
        </w:rPr>
        <w:fldChar w:fldCharType="begin"/>
      </w:r>
      <w:r w:rsidR="00EC2B2B" w:rsidRPr="003B67C3">
        <w:rPr>
          <w:sz w:val="24"/>
          <w:szCs w:val="24"/>
          <w:lang w:val="lv-LV" w:bidi="lv-LV"/>
        </w:rPr>
        <w:instrText xml:space="preserve"> REF _Ref76669347 \r \h </w:instrText>
      </w:r>
      <w:r w:rsidR="00C0592A" w:rsidRPr="003B67C3">
        <w:rPr>
          <w:sz w:val="24"/>
          <w:szCs w:val="24"/>
          <w:lang w:val="lv-LV" w:bidi="lv-LV"/>
        </w:rPr>
        <w:instrText xml:space="preserve"> \* MERGEFORMAT </w:instrText>
      </w:r>
      <w:r w:rsidR="00EC2B2B" w:rsidRPr="003B67C3">
        <w:rPr>
          <w:sz w:val="24"/>
          <w:szCs w:val="24"/>
          <w:lang w:val="lv-LV" w:bidi="lv-LV"/>
        </w:rPr>
      </w:r>
      <w:r w:rsidR="00EC2B2B" w:rsidRPr="003B67C3">
        <w:rPr>
          <w:sz w:val="24"/>
          <w:szCs w:val="24"/>
          <w:lang w:val="lv-LV" w:bidi="lv-LV"/>
        </w:rPr>
        <w:fldChar w:fldCharType="separate"/>
      </w:r>
      <w:r w:rsidR="007F0A66" w:rsidRPr="003B67C3">
        <w:rPr>
          <w:sz w:val="24"/>
          <w:szCs w:val="24"/>
          <w:lang w:val="lv-LV" w:bidi="lv-LV"/>
        </w:rPr>
        <w:t>7.6</w:t>
      </w:r>
      <w:r w:rsidR="00EC2B2B" w:rsidRPr="003B67C3">
        <w:rPr>
          <w:sz w:val="24"/>
          <w:szCs w:val="24"/>
          <w:lang w:val="lv-LV" w:bidi="lv-LV"/>
        </w:rPr>
        <w:fldChar w:fldCharType="end"/>
      </w:r>
      <w:r w:rsidRPr="003B67C3">
        <w:rPr>
          <w:sz w:val="24"/>
          <w:szCs w:val="24"/>
          <w:lang w:val="lv-LV" w:bidi="lv-LV"/>
        </w:rPr>
        <w:t xml:space="preserve">. punktā norādītajā </w:t>
      </w:r>
      <w:r w:rsidR="00751FCD" w:rsidRPr="003B67C3">
        <w:rPr>
          <w:sz w:val="24"/>
          <w:szCs w:val="24"/>
          <w:lang w:val="lv-LV" w:bidi="lv-LV"/>
        </w:rPr>
        <w:t xml:space="preserve">DIO </w:t>
      </w:r>
      <w:r w:rsidRPr="003B67C3">
        <w:rPr>
          <w:sz w:val="24"/>
          <w:szCs w:val="24"/>
          <w:lang w:val="lv-LV" w:bidi="lv-LV"/>
        </w:rPr>
        <w:t xml:space="preserve">mēneša pārskatā norādīto datu, </w:t>
      </w:r>
      <w:r w:rsidR="00396B99" w:rsidRPr="003B67C3">
        <w:rPr>
          <w:sz w:val="24"/>
          <w:szCs w:val="24"/>
          <w:lang w:val="lv-LV" w:bidi="lv-LV"/>
        </w:rPr>
        <w:t>Šķirošan</w:t>
      </w:r>
      <w:r w:rsidR="00156BB6" w:rsidRPr="003B67C3">
        <w:rPr>
          <w:sz w:val="24"/>
          <w:szCs w:val="24"/>
          <w:lang w:val="lv-LV" w:bidi="lv-LV"/>
        </w:rPr>
        <w:t>a</w:t>
      </w:r>
      <w:r w:rsidR="00396B99" w:rsidRPr="003B67C3">
        <w:rPr>
          <w:sz w:val="24"/>
          <w:szCs w:val="24"/>
          <w:lang w:val="lv-LV" w:bidi="lv-LV"/>
        </w:rPr>
        <w:t xml:space="preserve">s </w:t>
      </w:r>
      <w:r w:rsidRPr="003B67C3">
        <w:rPr>
          <w:sz w:val="24"/>
          <w:szCs w:val="24"/>
          <w:lang w:val="lv-LV" w:bidi="lv-LV"/>
        </w:rPr>
        <w:t xml:space="preserve">centrā saņemto </w:t>
      </w:r>
      <w:r w:rsidR="004C38ED" w:rsidRPr="003B67C3">
        <w:rPr>
          <w:sz w:val="24"/>
          <w:szCs w:val="24"/>
          <w:lang w:val="lv-LV" w:bidi="lv-LV"/>
        </w:rPr>
        <w:t>Vienreizliet</w:t>
      </w:r>
      <w:r w:rsidR="006D7605" w:rsidRPr="003B67C3">
        <w:rPr>
          <w:sz w:val="24"/>
          <w:szCs w:val="24"/>
          <w:lang w:val="lv-LV" w:bidi="lv-LV"/>
        </w:rPr>
        <w:t>ojamā</w:t>
      </w:r>
      <w:r w:rsidRPr="003B67C3">
        <w:rPr>
          <w:sz w:val="24"/>
          <w:szCs w:val="24"/>
          <w:lang w:val="lv-LV" w:bidi="lv-LV"/>
        </w:rPr>
        <w:t xml:space="preserve"> iepakojuma</w:t>
      </w:r>
      <w:r w:rsidR="006D7605" w:rsidRPr="003B67C3">
        <w:rPr>
          <w:sz w:val="24"/>
          <w:szCs w:val="24"/>
          <w:lang w:val="lv-LV" w:bidi="lv-LV"/>
        </w:rPr>
        <w:t xml:space="preserve"> un Universālo iepakojuma</w:t>
      </w:r>
      <w:r w:rsidRPr="003B67C3">
        <w:rPr>
          <w:sz w:val="24"/>
          <w:szCs w:val="24"/>
          <w:lang w:val="lv-LV" w:bidi="lv-LV"/>
        </w:rPr>
        <w:t xml:space="preserve"> uzskaites un/vai identifikācijas datu pareizību (izņemot gadījumus, kas saistīti ar </w:t>
      </w:r>
      <w:r w:rsidR="00751FCD" w:rsidRPr="003B67C3">
        <w:rPr>
          <w:sz w:val="24"/>
          <w:szCs w:val="24"/>
          <w:lang w:val="lv-LV" w:bidi="lv-LV"/>
        </w:rPr>
        <w:t xml:space="preserve">stikla </w:t>
      </w:r>
      <w:r w:rsidRPr="003B67C3">
        <w:rPr>
          <w:sz w:val="24"/>
          <w:szCs w:val="24"/>
          <w:lang w:val="lv-LV" w:bidi="lv-LV"/>
        </w:rPr>
        <w:t xml:space="preserve">iepakojuma saplīšanas procentu, kas jāpārskata saskaņā ar Līguma </w:t>
      </w:r>
      <w:r w:rsidR="00102F8B" w:rsidRPr="003B67C3">
        <w:rPr>
          <w:sz w:val="24"/>
          <w:szCs w:val="24"/>
          <w:lang w:val="lv-LV" w:bidi="lv-LV"/>
        </w:rPr>
        <w:t>7.4</w:t>
      </w:r>
      <w:r w:rsidRPr="003B67C3">
        <w:rPr>
          <w:sz w:val="24"/>
          <w:szCs w:val="24"/>
          <w:lang w:val="lv-LV" w:bidi="lv-LV"/>
        </w:rPr>
        <w:t>. punkt</w:t>
      </w:r>
      <w:r w:rsidR="00A13984" w:rsidRPr="003B67C3">
        <w:rPr>
          <w:sz w:val="24"/>
          <w:szCs w:val="24"/>
          <w:lang w:val="lv-LV" w:bidi="lv-LV"/>
        </w:rPr>
        <w:t>u</w:t>
      </w:r>
      <w:r w:rsidRPr="003B67C3">
        <w:rPr>
          <w:sz w:val="24"/>
          <w:szCs w:val="24"/>
          <w:lang w:val="lv-LV" w:bidi="lv-LV"/>
        </w:rPr>
        <w:t>)</w:t>
      </w:r>
      <w:bookmarkEnd w:id="1"/>
      <w:r w:rsidR="00C515C7" w:rsidRPr="003B67C3">
        <w:rPr>
          <w:sz w:val="24"/>
          <w:szCs w:val="24"/>
          <w:lang w:val="lv-LV" w:bidi="lv-LV"/>
        </w:rPr>
        <w:t xml:space="preserve">, </w:t>
      </w:r>
      <w:bookmarkStart w:id="2" w:name="_Ref76673570"/>
      <w:r w:rsidR="00751FCD" w:rsidRPr="003B67C3">
        <w:rPr>
          <w:sz w:val="24"/>
          <w:szCs w:val="24"/>
          <w:lang w:val="lv-LV" w:bidi="lv-LV"/>
        </w:rPr>
        <w:t>DIO</w:t>
      </w:r>
      <w:r w:rsidR="00DF012D" w:rsidRPr="003B67C3">
        <w:rPr>
          <w:sz w:val="24"/>
          <w:szCs w:val="24"/>
          <w:lang w:val="lv-LV" w:bidi="lv-LV"/>
        </w:rPr>
        <w:t xml:space="preserve"> </w:t>
      </w:r>
      <w:r w:rsidR="005C3DE2" w:rsidRPr="003B67C3">
        <w:rPr>
          <w:sz w:val="24"/>
          <w:szCs w:val="24"/>
          <w:lang w:val="lv-LV" w:bidi="lv-LV"/>
        </w:rPr>
        <w:t xml:space="preserve">15 </w:t>
      </w:r>
      <w:r w:rsidR="00086201" w:rsidRPr="003B67C3">
        <w:rPr>
          <w:sz w:val="24"/>
          <w:szCs w:val="24"/>
          <w:lang w:val="lv-LV" w:bidi="lv-LV"/>
        </w:rPr>
        <w:t>(</w:t>
      </w:r>
      <w:r w:rsidR="005C3DE2" w:rsidRPr="003B67C3">
        <w:rPr>
          <w:sz w:val="24"/>
          <w:szCs w:val="24"/>
          <w:lang w:val="lv-LV" w:bidi="lv-LV"/>
        </w:rPr>
        <w:t>piecpadsmit</w:t>
      </w:r>
      <w:r w:rsidR="00086201" w:rsidRPr="003B67C3">
        <w:rPr>
          <w:sz w:val="24"/>
          <w:szCs w:val="24"/>
          <w:lang w:val="lv-LV" w:bidi="lv-LV"/>
        </w:rPr>
        <w:t>) darba dienu laikā</w:t>
      </w:r>
      <w:r w:rsidR="00A13984" w:rsidRPr="003B67C3">
        <w:rPr>
          <w:sz w:val="24"/>
          <w:szCs w:val="24"/>
          <w:lang w:val="lv-LV" w:bidi="lv-LV"/>
        </w:rPr>
        <w:t xml:space="preserve"> pēc </w:t>
      </w:r>
      <w:r w:rsidR="00B25D70" w:rsidRPr="003B67C3">
        <w:rPr>
          <w:sz w:val="24"/>
          <w:szCs w:val="24"/>
          <w:lang w:val="lv-LV" w:bidi="lv-LV"/>
        </w:rPr>
        <w:t>Klientam</w:t>
      </w:r>
      <w:r w:rsidR="00A13984" w:rsidRPr="003B67C3">
        <w:rPr>
          <w:sz w:val="24"/>
          <w:szCs w:val="24"/>
          <w:lang w:val="lv-LV" w:bidi="lv-LV"/>
        </w:rPr>
        <w:t xml:space="preserve"> motivēta un pamatota</w:t>
      </w:r>
      <w:r w:rsidR="005C3DE2" w:rsidRPr="003B67C3">
        <w:rPr>
          <w:sz w:val="24"/>
          <w:szCs w:val="24"/>
          <w:lang w:val="lv-LV" w:bidi="lv-LV"/>
        </w:rPr>
        <w:t>, rakstiska</w:t>
      </w:r>
      <w:r w:rsidR="00A13984" w:rsidRPr="003B67C3">
        <w:rPr>
          <w:sz w:val="24"/>
          <w:szCs w:val="24"/>
          <w:lang w:val="lv-LV" w:bidi="lv-LV"/>
        </w:rPr>
        <w:t xml:space="preserve"> pieprasījuma</w:t>
      </w:r>
      <w:r w:rsidR="00086201" w:rsidRPr="003B67C3">
        <w:rPr>
          <w:sz w:val="24"/>
          <w:szCs w:val="24"/>
          <w:lang w:val="lv-LV" w:bidi="lv-LV"/>
        </w:rPr>
        <w:t xml:space="preserve"> iesnie</w:t>
      </w:r>
      <w:r w:rsidR="00A13984" w:rsidRPr="003B67C3">
        <w:rPr>
          <w:sz w:val="24"/>
          <w:szCs w:val="24"/>
          <w:lang w:val="lv-LV" w:bidi="lv-LV"/>
        </w:rPr>
        <w:t>dz</w:t>
      </w:r>
      <w:r w:rsidR="00086201" w:rsidRPr="003B67C3">
        <w:rPr>
          <w:sz w:val="24"/>
          <w:szCs w:val="24"/>
          <w:lang w:val="lv-LV" w:bidi="lv-LV"/>
        </w:rPr>
        <w:t xml:space="preserve"> </w:t>
      </w:r>
      <w:r w:rsidR="00B25D70" w:rsidRPr="003B67C3">
        <w:rPr>
          <w:sz w:val="24"/>
          <w:szCs w:val="24"/>
          <w:lang w:val="lv-LV" w:bidi="lv-LV"/>
        </w:rPr>
        <w:t>Klientam</w:t>
      </w:r>
      <w:r w:rsidR="00086201" w:rsidRPr="003B67C3">
        <w:rPr>
          <w:sz w:val="24"/>
          <w:szCs w:val="24"/>
          <w:lang w:val="lv-LV" w:bidi="lv-LV"/>
        </w:rPr>
        <w:t xml:space="preserve"> informāciju, uz kur</w:t>
      </w:r>
      <w:r w:rsidR="005C3DE2" w:rsidRPr="003B67C3">
        <w:rPr>
          <w:sz w:val="24"/>
          <w:szCs w:val="24"/>
          <w:lang w:val="lv-LV" w:bidi="lv-LV"/>
        </w:rPr>
        <w:t>as</w:t>
      </w:r>
      <w:r w:rsidR="00AA5115" w:rsidRPr="003B67C3">
        <w:rPr>
          <w:sz w:val="24"/>
          <w:szCs w:val="24"/>
          <w:lang w:val="lv-LV" w:bidi="lv-LV"/>
        </w:rPr>
        <w:t xml:space="preserve"> </w:t>
      </w:r>
      <w:r w:rsidR="00086201" w:rsidRPr="003B67C3">
        <w:rPr>
          <w:sz w:val="24"/>
          <w:szCs w:val="24"/>
          <w:lang w:val="lv-LV" w:bidi="lv-LV"/>
        </w:rPr>
        <w:t>pamata</w:t>
      </w:r>
      <w:r w:rsidR="003408A3" w:rsidRPr="003B67C3">
        <w:rPr>
          <w:sz w:val="24"/>
          <w:szCs w:val="24"/>
          <w:lang w:val="lv-LV" w:bidi="lv-LV"/>
        </w:rPr>
        <w:t xml:space="preserve"> </w:t>
      </w:r>
      <w:r w:rsidR="00086201" w:rsidRPr="003B67C3">
        <w:rPr>
          <w:sz w:val="24"/>
          <w:szCs w:val="24"/>
          <w:lang w:val="lv-LV" w:bidi="lv-LV"/>
        </w:rPr>
        <w:t>sagatavot</w:t>
      </w:r>
      <w:r w:rsidR="003408A3" w:rsidRPr="003B67C3">
        <w:rPr>
          <w:sz w:val="24"/>
          <w:szCs w:val="24"/>
          <w:lang w:val="lv-LV" w:bidi="lv-LV"/>
        </w:rPr>
        <w:t>i</w:t>
      </w:r>
      <w:r w:rsidR="00086201" w:rsidRPr="003B67C3">
        <w:rPr>
          <w:sz w:val="24"/>
          <w:szCs w:val="24"/>
          <w:lang w:val="lv-LV" w:bidi="lv-LV"/>
        </w:rPr>
        <w:t xml:space="preserve"> mēneša pārskat</w:t>
      </w:r>
      <w:r w:rsidR="003408A3" w:rsidRPr="003B67C3">
        <w:rPr>
          <w:sz w:val="24"/>
          <w:szCs w:val="24"/>
          <w:lang w:val="lv-LV" w:bidi="lv-LV"/>
        </w:rPr>
        <w:t>i</w:t>
      </w:r>
      <w:bookmarkEnd w:id="2"/>
      <w:r w:rsidR="00C515C7" w:rsidRPr="003B67C3">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4C245EC"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1E99EFEA"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0A5602">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2874C539"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t xml:space="preserve">Puses vienojas pielāgot </w:t>
      </w:r>
      <w:r w:rsidR="0056518A" w:rsidRPr="003A2F3B">
        <w:rPr>
          <w:sz w:val="24"/>
          <w:szCs w:val="24"/>
          <w:lang w:val="lv-LV" w:bidi="lv-LV"/>
        </w:rPr>
        <w:t xml:space="preserve">Grafiku </w:t>
      </w:r>
      <w:r w:rsidRPr="003A2F3B">
        <w:rPr>
          <w:sz w:val="24"/>
          <w:szCs w:val="24"/>
          <w:lang w:val="lv-LV" w:bidi="lv-LV"/>
        </w:rPr>
        <w:t>(t. i., tajā noteikto biežumu), ja Līguma 4.</w:t>
      </w:r>
      <w:r w:rsidR="005958B9" w:rsidRPr="003A2F3B">
        <w:rPr>
          <w:sz w:val="24"/>
          <w:szCs w:val="24"/>
          <w:lang w:val="lv-LV" w:bidi="lv-LV"/>
        </w:rPr>
        <w:t>6</w:t>
      </w:r>
      <w:r w:rsidRPr="003A2F3B">
        <w:rPr>
          <w:sz w:val="24"/>
          <w:szCs w:val="24"/>
          <w:lang w:val="lv-LV" w:bidi="lv-LV"/>
        </w:rPr>
        <w:t xml:space="preserve">. 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25A558C7"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0"/>
      <w:r w:rsidRPr="0093597F">
        <w:rPr>
          <w:sz w:val="24"/>
          <w:szCs w:val="24"/>
          <w:lang w:val="lv-LV" w:bidi="lv-LV"/>
        </w:rPr>
        <w:t xml:space="preserve"> </w:t>
      </w:r>
    </w:p>
    <w:p w14:paraId="44C9C96F" w14:textId="61294E7B"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 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B630E32"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4"/>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327CACA"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6B0F3A">
        <w:rPr>
          <w:sz w:val="24"/>
          <w:szCs w:val="24"/>
          <w:lang w:val="lv-LV" w:bidi="lv-LV"/>
        </w:rPr>
        <w:t>12</w:t>
      </w:r>
      <w:r w:rsidR="00C97A0E" w:rsidRPr="0093597F">
        <w:rPr>
          <w:sz w:val="24"/>
          <w:szCs w:val="24"/>
          <w:lang w:val="lv-LV" w:bidi="lv-LV"/>
        </w:rPr>
        <w:t xml:space="preserve"> (</w:t>
      </w:r>
      <w:r w:rsidR="006B0F3A">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13D96EFE" w:rsidR="002E24AE" w:rsidRPr="002106EB"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36D5970E"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bet ne vēlāk kā 5 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B61DFD0"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 lpp.;</w:t>
      </w:r>
    </w:p>
    <w:p w14:paraId="153CA2D2" w14:textId="34D3F838"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lpp;</w:t>
      </w:r>
    </w:p>
    <w:p w14:paraId="333D05CE" w14:textId="42E64506"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lpp.;</w:t>
      </w:r>
    </w:p>
    <w:p w14:paraId="119BF78A" w14:textId="40C151A0"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1lpp.</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4A0E3623" w:rsidR="002E24AE" w:rsidRPr="0093597F" w:rsidRDefault="002E24AE" w:rsidP="00EA2162">
            <w:pPr>
              <w:rPr>
                <w:sz w:val="24"/>
                <w:szCs w:val="24"/>
                <w:lang w:val="lv-LV"/>
              </w:rPr>
            </w:pPr>
            <w:r w:rsidRPr="0093597F">
              <w:rPr>
                <w:sz w:val="24"/>
                <w:szCs w:val="24"/>
                <w:lang w:val="lv-LV" w:bidi="lv-LV"/>
              </w:rPr>
              <w:t xml:space="preserve">Adrese korespondencei: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End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218838EF" w:rsidR="002E24AE" w:rsidRPr="0093597F" w:rsidRDefault="002E24AE" w:rsidP="00300A0D">
            <w:pPr>
              <w:rPr>
                <w:sz w:val="24"/>
                <w:szCs w:val="24"/>
                <w:lang w:val="lv-LV"/>
              </w:rPr>
            </w:pPr>
            <w:r w:rsidRPr="0093597F">
              <w:rPr>
                <w:sz w:val="24"/>
                <w:szCs w:val="24"/>
                <w:lang w:val="lv-LV" w:bidi="lv-LV"/>
              </w:rPr>
              <w:t xml:space="preserve">E-pasts: </w:t>
            </w:r>
            <w:sdt>
              <w:sdtPr>
                <w:rPr>
                  <w:sz w:val="24"/>
                  <w:szCs w:val="24"/>
                  <w:lang w:val="lv-LV" w:bidi="lv-LV"/>
                </w:rPr>
                <w:id w:val="-1214192455"/>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7E56E720" w14:textId="66EDBB79" w:rsidR="00DB70F1" w:rsidRDefault="00DB70F1" w:rsidP="00DB70F1">
      <w:pPr>
        <w:tabs>
          <w:tab w:val="left" w:pos="1560"/>
        </w:tabs>
        <w:spacing w:before="120" w:after="120"/>
        <w:rPr>
          <w:i/>
          <w:iCs/>
          <w:lang w:val="lv-LV"/>
        </w:rPr>
      </w:pPr>
    </w:p>
    <w:p w14:paraId="493DECBE" w14:textId="67B0226B"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41210F0F" w14:textId="48F9F44A" w:rsidR="00DB70F1" w:rsidRDefault="00DB70F1" w:rsidP="00DB70F1">
      <w:pPr>
        <w:jc w:val="both"/>
        <w:rPr>
          <w:i/>
          <w:iCs/>
          <w:lang w:val="lv-LV"/>
        </w:rPr>
      </w:pPr>
    </w:p>
    <w:p w14:paraId="381D8596" w14:textId="5F9AA900" w:rsidR="00FB3C58" w:rsidRDefault="00FB3C58" w:rsidP="00DB70F1">
      <w:pPr>
        <w:jc w:val="both"/>
        <w:rPr>
          <w:i/>
          <w:iCs/>
          <w:lang w:val="lv-LV"/>
        </w:rPr>
      </w:pPr>
    </w:p>
    <w:p w14:paraId="4B525937" w14:textId="31356241" w:rsidR="00FB3C58" w:rsidRDefault="00FB3C58" w:rsidP="00DB70F1">
      <w:pPr>
        <w:jc w:val="both"/>
        <w:rPr>
          <w:i/>
          <w:iCs/>
          <w:lang w:val="lv-LV"/>
        </w:rPr>
      </w:pPr>
    </w:p>
    <w:p w14:paraId="68073832" w14:textId="7803B52C" w:rsidR="00FB3C58" w:rsidRDefault="00FB3C58" w:rsidP="00DB70F1">
      <w:pPr>
        <w:jc w:val="both"/>
        <w:rPr>
          <w:i/>
          <w:iCs/>
          <w:lang w:val="lv-LV"/>
        </w:rPr>
      </w:pPr>
    </w:p>
    <w:p w14:paraId="414A3F1D" w14:textId="58640530" w:rsidR="00FB3C58" w:rsidRDefault="00FB3C58" w:rsidP="00DB70F1">
      <w:pPr>
        <w:jc w:val="both"/>
        <w:rPr>
          <w:i/>
          <w:iCs/>
          <w:lang w:val="lv-LV"/>
        </w:rPr>
      </w:pPr>
    </w:p>
    <w:p w14:paraId="1027F17C" w14:textId="77777777" w:rsidR="00FB3C58" w:rsidRDefault="00FB3C58" w:rsidP="00DB70F1">
      <w:pPr>
        <w:jc w:val="both"/>
        <w:rPr>
          <w:i/>
          <w:sz w:val="24"/>
          <w:szCs w:val="24"/>
          <w:lang w:val="lv-LV"/>
        </w:rPr>
      </w:pPr>
    </w:p>
    <w:p w14:paraId="75A418E0" w14:textId="7154B128"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C200F0">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C200F0"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2BA66444"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583A86">
            <w:rPr>
              <w:sz w:val="24"/>
              <w:szCs w:val="24"/>
              <w:lang w:val="lv-LV"/>
            </w:rPr>
            <w:t>2</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C200F0"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C200F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C200F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C200F0"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C200F0"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10E6955E" w14:textId="4EBE766E" w:rsidR="002B5E0E" w:rsidRDefault="002B5E0E">
      <w:pPr>
        <w:rPr>
          <w:lang w:val="lv-LV"/>
        </w:rPr>
      </w:pPr>
    </w:p>
    <w:p w14:paraId="7BD22CE7" w14:textId="49119D0B" w:rsidR="00FB3C58" w:rsidRDefault="00FB3C58">
      <w:pPr>
        <w:rPr>
          <w:lang w:val="lv-LV"/>
        </w:rPr>
      </w:pPr>
    </w:p>
    <w:p w14:paraId="43C2840A" w14:textId="185053B2" w:rsidR="00FB3C58" w:rsidRDefault="00FB3C58">
      <w:pPr>
        <w:rPr>
          <w:lang w:val="lv-LV"/>
        </w:rPr>
      </w:pPr>
    </w:p>
    <w:p w14:paraId="5CA781E5" w14:textId="212F0ACE" w:rsidR="00FB3C58" w:rsidRDefault="00FB3C58">
      <w:pPr>
        <w:rPr>
          <w:lang w:val="lv-LV"/>
        </w:rPr>
      </w:pPr>
    </w:p>
    <w:p w14:paraId="24BE47CC" w14:textId="32D5111C" w:rsidR="00FB3C58" w:rsidRDefault="00FB3C58">
      <w:pPr>
        <w:rPr>
          <w:lang w:val="lv-LV"/>
        </w:rPr>
      </w:pPr>
    </w:p>
    <w:p w14:paraId="32FE3B43" w14:textId="5E3435E1" w:rsidR="00FB3C58" w:rsidRDefault="00FB3C58">
      <w:pPr>
        <w:rPr>
          <w:lang w:val="lv-LV"/>
        </w:rPr>
      </w:pPr>
    </w:p>
    <w:p w14:paraId="1403EFF4" w14:textId="761916BD" w:rsidR="00FB3C58" w:rsidRDefault="00FB3C58">
      <w:pPr>
        <w:rPr>
          <w:lang w:val="lv-LV"/>
        </w:rPr>
      </w:pPr>
    </w:p>
    <w:p w14:paraId="3B8A4C38" w14:textId="439AC80D" w:rsidR="00FB3C58" w:rsidRDefault="00FB3C58">
      <w:pPr>
        <w:rPr>
          <w:lang w:val="lv-LV"/>
        </w:rPr>
      </w:pPr>
    </w:p>
    <w:p w14:paraId="23F96E0C" w14:textId="77777777" w:rsidR="00FB3C58" w:rsidRDefault="00FB3C58">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52936CC4"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C200F0">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C200F0"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05810C88" w14:textId="250AE478" w:rsidR="00496A7E" w:rsidRDefault="00496A7E">
      <w:pPr>
        <w:rPr>
          <w:sz w:val="24"/>
          <w:szCs w:val="24"/>
          <w:lang w:val="lv-LV"/>
        </w:rPr>
      </w:pPr>
    </w:p>
    <w:p w14:paraId="2DEB91D5" w14:textId="414661BC" w:rsidR="00FB3C58" w:rsidRDefault="00FB3C58">
      <w:pPr>
        <w:rPr>
          <w:sz w:val="24"/>
          <w:szCs w:val="24"/>
          <w:lang w:val="lv-LV"/>
        </w:rPr>
      </w:pPr>
    </w:p>
    <w:p w14:paraId="44203C78" w14:textId="23BC92E6" w:rsidR="00FB3C58" w:rsidRDefault="00FB3C58">
      <w:pPr>
        <w:rPr>
          <w:sz w:val="24"/>
          <w:szCs w:val="24"/>
          <w:lang w:val="lv-LV"/>
        </w:rPr>
      </w:pPr>
    </w:p>
    <w:p w14:paraId="145C4A17" w14:textId="3393013D" w:rsidR="00FB3C58" w:rsidRDefault="00FB3C58">
      <w:pPr>
        <w:rPr>
          <w:sz w:val="24"/>
          <w:szCs w:val="24"/>
          <w:lang w:val="lv-LV"/>
        </w:rPr>
      </w:pPr>
    </w:p>
    <w:p w14:paraId="29A3536F" w14:textId="79C48DBB" w:rsidR="00FB3C58" w:rsidRDefault="00FB3C58">
      <w:pPr>
        <w:rPr>
          <w:sz w:val="24"/>
          <w:szCs w:val="24"/>
          <w:lang w:val="lv-LV"/>
        </w:rPr>
      </w:pPr>
    </w:p>
    <w:p w14:paraId="047E38EC" w14:textId="77777777" w:rsidR="00FB3C58" w:rsidRPr="0093597F" w:rsidRDefault="00FB3C58">
      <w:pPr>
        <w:rPr>
          <w:sz w:val="24"/>
          <w:szCs w:val="24"/>
          <w:lang w:val="lv-LV"/>
        </w:rPr>
      </w:pPr>
    </w:p>
    <w:p w14:paraId="6342A2D5" w14:textId="6BD010FB"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C200F0">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C200F0"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25A1598F" w14:textId="77777777" w:rsidR="00FB3C58" w:rsidRDefault="00FB3C58" w:rsidP="0060176D">
      <w:pPr>
        <w:tabs>
          <w:tab w:val="left" w:pos="1560"/>
        </w:tabs>
        <w:spacing w:before="120" w:after="120"/>
        <w:jc w:val="center"/>
        <w:rPr>
          <w:b/>
          <w:sz w:val="24"/>
          <w:szCs w:val="24"/>
          <w:lang w:val="lv-LV" w:bidi="lv-LV"/>
        </w:rPr>
      </w:pPr>
    </w:p>
    <w:p w14:paraId="1B7086E1" w14:textId="77777777" w:rsidR="00FB3C58" w:rsidRDefault="00FB3C58" w:rsidP="0060176D">
      <w:pPr>
        <w:tabs>
          <w:tab w:val="left" w:pos="1560"/>
        </w:tabs>
        <w:spacing w:before="120" w:after="120"/>
        <w:jc w:val="center"/>
        <w:rPr>
          <w:b/>
          <w:sz w:val="24"/>
          <w:szCs w:val="24"/>
          <w:lang w:val="lv-LV" w:bidi="lv-LV"/>
        </w:rPr>
      </w:pPr>
    </w:p>
    <w:p w14:paraId="7B625360" w14:textId="77777777" w:rsidR="00FB3C58" w:rsidRDefault="00FB3C58" w:rsidP="0060176D">
      <w:pPr>
        <w:tabs>
          <w:tab w:val="left" w:pos="1560"/>
        </w:tabs>
        <w:spacing w:before="120" w:after="120"/>
        <w:jc w:val="center"/>
        <w:rPr>
          <w:b/>
          <w:sz w:val="24"/>
          <w:szCs w:val="24"/>
          <w:lang w:val="lv-LV" w:bidi="lv-LV"/>
        </w:rPr>
      </w:pPr>
    </w:p>
    <w:p w14:paraId="69880F13" w14:textId="77777777" w:rsidR="00FB3C58" w:rsidRDefault="00FB3C58" w:rsidP="0060176D">
      <w:pPr>
        <w:tabs>
          <w:tab w:val="left" w:pos="1560"/>
        </w:tabs>
        <w:spacing w:before="120" w:after="120"/>
        <w:jc w:val="center"/>
        <w:rPr>
          <w:b/>
          <w:sz w:val="24"/>
          <w:szCs w:val="24"/>
          <w:lang w:val="lv-LV" w:bidi="lv-LV"/>
        </w:rPr>
      </w:pPr>
    </w:p>
    <w:p w14:paraId="4A0F180F" w14:textId="77777777" w:rsidR="00FB3C58" w:rsidRDefault="00FB3C58" w:rsidP="0060176D">
      <w:pPr>
        <w:tabs>
          <w:tab w:val="left" w:pos="1560"/>
        </w:tabs>
        <w:spacing w:before="120" w:after="120"/>
        <w:jc w:val="center"/>
        <w:rPr>
          <w:b/>
          <w:sz w:val="24"/>
          <w:szCs w:val="24"/>
          <w:lang w:val="lv-LV" w:bidi="lv-LV"/>
        </w:rPr>
      </w:pPr>
    </w:p>
    <w:p w14:paraId="0CD63A79" w14:textId="00598186"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C200F0">
            <w:rPr>
              <w:b/>
              <w:sz w:val="24"/>
              <w:szCs w:val="24"/>
              <w:lang w:val="lv-LV"/>
            </w:rPr>
            <w:t>3</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End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EndPr/>
        <w:sdtContent>
          <w:r w:rsidR="00583A86">
            <w:rPr>
              <w:sz w:val="24"/>
              <w:szCs w:val="24"/>
              <w:lang w:val="lv-LV"/>
            </w:rPr>
            <w:t xml:space="preserve">+371 </w:t>
          </w:r>
        </w:sdtContent>
      </w:sdt>
    </w:p>
    <w:p w14:paraId="171A0936" w14:textId="6F4D496A"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11E4F867" w14:textId="52E94941" w:rsidR="0060176D" w:rsidRPr="0093597F" w:rsidRDefault="00C200F0" w:rsidP="00FB3C58">
      <w:pPr>
        <w:rPr>
          <w:b/>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AAA0" w14:textId="77777777" w:rsidR="00DE36D3" w:rsidRDefault="00DE36D3">
      <w:r>
        <w:separator/>
      </w:r>
    </w:p>
  </w:endnote>
  <w:endnote w:type="continuationSeparator" w:id="0">
    <w:p w14:paraId="3B605B31" w14:textId="77777777" w:rsidR="00DE36D3" w:rsidRDefault="00DE36D3">
      <w:r>
        <w:continuationSeparator/>
      </w:r>
    </w:p>
  </w:endnote>
  <w:endnote w:type="continuationNotice" w:id="1">
    <w:p w14:paraId="17D9C247" w14:textId="77777777" w:rsidR="00DE36D3" w:rsidRDefault="00DE3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229E" w14:textId="77777777" w:rsidR="00DE36D3" w:rsidRDefault="00DE36D3">
      <w:r>
        <w:separator/>
      </w:r>
    </w:p>
  </w:footnote>
  <w:footnote w:type="continuationSeparator" w:id="0">
    <w:p w14:paraId="6075C17C" w14:textId="77777777" w:rsidR="00DE36D3" w:rsidRDefault="00DE36D3">
      <w:r>
        <w:continuationSeparator/>
      </w:r>
    </w:p>
  </w:footnote>
  <w:footnote w:type="continuationNotice" w:id="1">
    <w:p w14:paraId="4D495955" w14:textId="77777777" w:rsidR="00DE36D3" w:rsidRDefault="00DE36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lTGw2PM9tE2zdARAafQBMBgZl2hMkf2ubuQ1qZyaJGgsbtj0qEvg4IyN5noC/Hzoueab99sQrVEXSuz9jkfnTQ==" w:salt="2j0XT2Su+V8E0hsvoEMQa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5602"/>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C3"/>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0F3A"/>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B50"/>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1B8"/>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6CB4"/>
    <w:rsid w:val="00C173E7"/>
    <w:rsid w:val="00C179B4"/>
    <w:rsid w:val="00C200C5"/>
    <w:rsid w:val="00C200F0"/>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9CE"/>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6D3"/>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364D"/>
    <w:rsid w:val="00FB396F"/>
    <w:rsid w:val="00FB3B40"/>
    <w:rsid w:val="00FB3C58"/>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5953"/>
    <w:rsid w:val="004A0377"/>
    <w:rsid w:val="004D255A"/>
    <w:rsid w:val="005C28BC"/>
    <w:rsid w:val="0070116D"/>
    <w:rsid w:val="007100C3"/>
    <w:rsid w:val="0072614A"/>
    <w:rsid w:val="00787988"/>
    <w:rsid w:val="00792C22"/>
    <w:rsid w:val="00982EEC"/>
    <w:rsid w:val="009C2698"/>
    <w:rsid w:val="009E6D8D"/>
    <w:rsid w:val="00B17B35"/>
    <w:rsid w:val="00B225E2"/>
    <w:rsid w:val="00B85496"/>
    <w:rsid w:val="00E0675F"/>
    <w:rsid w:val="00F03A72"/>
    <w:rsid w:val="00FA2928"/>
    <w:rsid w:val="00FE2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2.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3.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8499</Words>
  <Characters>48445</Characters>
  <Application>Microsoft Office Word</Application>
  <DocSecurity>0</DocSecurity>
  <Lines>403</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56831</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91</cp:revision>
  <cp:lastPrinted>2021-07-08T09:24:00Z</cp:lastPrinted>
  <dcterms:created xsi:type="dcterms:W3CDTF">2022-01-14T13:52:00Z</dcterms:created>
  <dcterms:modified xsi:type="dcterms:W3CDTF">2023-01-30T08:14:00Z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