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18D406B0" w:rsidR="006748CB" w:rsidRPr="0095268C" w:rsidRDefault="006748CB" w:rsidP="005C25A6">
            <w:pPr>
              <w:spacing w:before="120" w:after="120"/>
              <w:jc w:val="center"/>
              <w:rPr>
                <w:szCs w:val="20"/>
                <w:lang w:val="lv-LV"/>
              </w:rPr>
            </w:pPr>
            <w:r w:rsidRPr="0095268C">
              <w:rPr>
                <w:szCs w:val="20"/>
                <w:lang w:val="lv-LV"/>
              </w:rPr>
              <w:t>202</w:t>
            </w:r>
            <w:r w:rsidR="00572C8C">
              <w:rPr>
                <w:szCs w:val="20"/>
                <w:lang w:val="lv-LV"/>
              </w:rPr>
              <w:t>3</w:t>
            </w:r>
            <w:r w:rsidRPr="0095268C">
              <w:rPr>
                <w:szCs w:val="20"/>
                <w:lang w:val="lv-LV"/>
              </w:rPr>
              <w:t xml:space="preserve">. gada </w:t>
            </w:r>
            <w:sdt>
              <w:sdtPr>
                <w:rPr>
                  <w:szCs w:val="20"/>
                  <w:lang w:val="lv-LV"/>
                </w:rPr>
                <w:id w:val="-1858331917"/>
                <w:placeholder>
                  <w:docPart w:val="EAE050F0978A4EB2A9EE17A1E99E1800"/>
                </w:placeholder>
              </w:sdtPr>
              <w:sdtEndPr>
                <w:rPr>
                  <w:szCs w:val="22"/>
                  <w:lang w:val="lt-LT"/>
                </w:rPr>
              </w:sdtEndPr>
              <w:sdtContent>
                <w:r w:rsidR="00572C8C" w:rsidRPr="0095268C">
                  <w:rPr>
                    <w:szCs w:val="20"/>
                    <w:lang w:val="lv-LV"/>
                  </w:rPr>
                  <w:t>[</w:t>
                </w:r>
                <w:r w:rsidR="00572C8C" w:rsidRPr="0020531F">
                  <w:t>tiks ierakstīts]</w:t>
                </w:r>
              </w:sdtContent>
            </w:sdt>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4BAFC9C0" w:rsidR="006748CB" w:rsidRPr="0095268C" w:rsidRDefault="00572C8C"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w:t>
                </w:r>
                <w:r w:rsidR="00731CF9">
                  <w:t>alis</w:t>
                </w:r>
                <w:r w:rsidR="006748CB" w:rsidRPr="00125F30">
                  <w:rPr>
                    <w:noProof w:val="0"/>
                    <w:spacing w:val="-3"/>
                    <w:szCs w:val="20"/>
                    <w:lang w:val="lv-LV"/>
                  </w:rPr>
                  <w:t>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803"/>
              <w:gridCol w:w="5731"/>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lastRenderedPageBreak/>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C4C35A3"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Pr="0095268C">
                      <w:rPr>
                        <w:rStyle w:val="Hyperlink"/>
                        <w:rFonts w:cs="Times New Roman"/>
                        <w:szCs w:val="20"/>
                        <w:shd w:val="clear" w:color="auto" w:fill="FFFFFF"/>
                      </w:rPr>
                      <w:t>www.dio.lv</w:t>
                    </w:r>
                  </w:hyperlink>
                  <w:r w:rsidRPr="0095268C">
                    <w:rPr>
                      <w:rFonts w:cs="Times New Roman"/>
                      <w:szCs w:val="20"/>
                      <w:shd w:val="clear" w:color="auto" w:fill="FFFFFF"/>
                    </w:rPr>
                    <w:t xml:space="preserve"> </w:t>
                  </w:r>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 xml:space="preserve">Depozīta iepakotāja Latvijas tirgū laistā produkta Depozīta iepakojums, kurš neatbilst normatīvajos aktos noteiktajām prasībām un/vai Rokasgrāmatas Depozīta iepakotājiem 9.sadaļas noteikumiem, </w:t>
                  </w:r>
                  <w:r w:rsidRPr="0095268C">
                    <w:rPr>
                      <w:szCs w:val="20"/>
                      <w:lang w:val="lv-LV"/>
                    </w:rPr>
                    <w:lastRenderedPageBreak/>
                    <w:t>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lastRenderedPageBreak/>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07737579"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Pr="0095268C">
                      <w:rPr>
                        <w:rStyle w:val="Hyperlink"/>
                        <w:szCs w:val="20"/>
                        <w:lang w:val="lv-LV"/>
                      </w:rPr>
                      <w:t>www.dio.lv</w:t>
                    </w:r>
                  </w:hyperlink>
                  <w:r w:rsidRPr="0095268C">
                    <w:rPr>
                      <w:szCs w:val="20"/>
                      <w:lang w:val="lv-LV"/>
                    </w:rPr>
                    <w:t xml:space="preserve"> (ar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lastRenderedPageBreak/>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0E3818FF"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40761D" w:rsidRPr="0040761D">
              <w:rPr>
                <w:szCs w:val="20"/>
                <w:lang w:val="lv-LV"/>
              </w:rPr>
              <w:t>Depozīta sistēmas Reģistrā reģistrējamajam Svītrkodam ir jābūt tādam, kas nav bijis laists Latvijas tirgū līdz tā reģistrācijas brīdim Reģistrā, izņemot gadījumus, kad Depozīta iepakotājs rīkojas saskaņā ar Līguma 14.3. punktā noteikto kārtību</w:t>
            </w:r>
            <w:r w:rsidR="00D23C60">
              <w:rPr>
                <w:szCs w:val="20"/>
                <w:lang w:val="lv-LV"/>
              </w:rPr>
              <w:t>.</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lastRenderedPageBreak/>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lastRenderedPageBreak/>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 xml:space="preserve">vai jāiekļauj precizēti dati nākamā </w:t>
            </w:r>
            <w:r w:rsidR="004B2B8A" w:rsidRPr="0095268C">
              <w:rPr>
                <w:szCs w:val="20"/>
                <w:lang w:val="lv-LV"/>
              </w:rPr>
              <w:lastRenderedPageBreak/>
              <w:t>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lastRenderedPageBreak/>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bookmarkStart w:id="10" w:name="_Hlk89871791"/>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lastRenderedPageBreak/>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1"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1"/>
          </w:p>
        </w:tc>
      </w:tr>
      <w:bookmarkEnd w:id="10"/>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590578F0"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 </w:t>
            </w:r>
            <w:hyperlink r:id="rId13" w:history="1">
              <w:r w:rsidRPr="0095268C">
                <w:rPr>
                  <w:rStyle w:val="Hyperlink"/>
                  <w:szCs w:val="20"/>
                  <w:lang w:val="lv-LV"/>
                </w:rPr>
                <w:t>www.dio.lv</w:t>
              </w:r>
            </w:hyperlink>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 xml:space="preserve">Depozīta </w:t>
            </w:r>
            <w:r w:rsidR="00CE548F" w:rsidRPr="0095268C">
              <w:rPr>
                <w:szCs w:val="20"/>
                <w:lang w:val="lv-LV"/>
              </w:rPr>
              <w:lastRenderedPageBreak/>
              <w:t>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lastRenderedPageBreak/>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2"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2"/>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lastRenderedPageBreak/>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57ACCB59" w:rsidR="006748CB" w:rsidRPr="0095268C" w:rsidRDefault="001061FB" w:rsidP="00BB514B">
            <w:pPr>
              <w:pStyle w:val="ListParagraph"/>
              <w:numPr>
                <w:ilvl w:val="1"/>
                <w:numId w:val="19"/>
              </w:numPr>
              <w:spacing w:before="120" w:after="120"/>
              <w:ind w:left="0" w:firstLine="0"/>
              <w:contextualSpacing w:val="0"/>
              <w:jc w:val="both"/>
              <w:rPr>
                <w:szCs w:val="20"/>
                <w:lang w:val="lv-LV"/>
              </w:rPr>
            </w:pPr>
            <w:r w:rsidRPr="001061FB">
              <w:rPr>
                <w:szCs w:val="20"/>
                <w:lang w:val="lv-LV"/>
              </w:rPr>
              <w:t>Ja Depozīta iepakotājs reģistrē Depozīta Reģistrā Svītrkodu, kas ir ticis laists tirgū pirms tā reģistrācijas Depozīta sistēmā, Depozīta iepakotājam ir pienākums maksāt DIO Depozīta maksu un Depozīta sistēmas dalības maksu par katru šādu iepakojuma vienību, kas ir faktiski laists tirgū Latvijā pēdējo 3 (trīs) mēnešu laikā pirms dienas, ar kuru šis iepakojums tiek aktivizēts Depozīta sistēmā. Gadījumā, ja iepriekš tirgū laista Svītrkoda reģistrācija notiek vairāk nekā 5 (piecus) mēnešus pēc normatīvajos aktos tirgotājiem noteiktā pārejas perioda, kurā dzērienus iepakojumā drīkst tirgot bez Depozīta zīmes, beigām, šajā punktā paredzētie maksājumi netiek piemēroti</w:t>
            </w:r>
            <w:r w:rsidR="00903EF1"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lastRenderedPageBreak/>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7CE156AD"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E82773" w:rsidRPr="0095268C">
                <w:rPr>
                  <w:rStyle w:val="Hyperlink"/>
                  <w:szCs w:val="20"/>
                  <w:lang w:val="lv-LV"/>
                </w:rPr>
                <w:t>www.dio.lv</w:t>
              </w:r>
            </w:hyperlink>
            <w:r w:rsidR="00E82773" w:rsidRPr="0095268C">
              <w:rPr>
                <w:szCs w:val="20"/>
                <w:lang w:val="lv-LV"/>
              </w:rPr>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6E581727"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3"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Pr="0095268C">
                <w:t>www.dio.lv</w:t>
              </w:r>
            </w:hyperlink>
            <w:r w:rsidRPr="0095268C">
              <w:rPr>
                <w:szCs w:val="20"/>
                <w:lang w:val="lv-LV"/>
              </w:rPr>
              <w:t xml:space="preserve"> un nosūtot Depozīta iepakotājam informāciju un grozīto/papildināto dokumentu pa e-pastu.</w:t>
            </w:r>
            <w:bookmarkEnd w:id="13"/>
          </w:p>
        </w:tc>
      </w:tr>
      <w:tr w:rsidR="005643DB" w:rsidRPr="0095268C" w14:paraId="08BFE56F" w14:textId="77777777" w:rsidTr="00DA22CB">
        <w:tc>
          <w:tcPr>
            <w:tcW w:w="9673" w:type="dxa"/>
          </w:tcPr>
          <w:p w14:paraId="26DD0970" w14:textId="1CE51DB3"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Pr="0095268C">
                <w:rPr>
                  <w:szCs w:val="20"/>
                </w:rPr>
                <w:t>www.dio.lv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Pr="0095268C">
                <w:rPr>
                  <w:szCs w:val="20"/>
                </w:rPr>
                <w:t>www.dio.lv</w:t>
              </w:r>
            </w:hyperlink>
            <w:r w:rsidRPr="0095268C">
              <w:rPr>
                <w:szCs w:val="20"/>
                <w:lang w:val="lv-LV"/>
              </w:rPr>
              <w:t>, 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lastRenderedPageBreak/>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lastRenderedPageBreak/>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w:t>
            </w:r>
            <w:r w:rsidRPr="0095268C">
              <w:rPr>
                <w:szCs w:val="20"/>
                <w:lang w:val="lv-LV"/>
              </w:rPr>
              <w:lastRenderedPageBreak/>
              <w:t xml:space="preserve">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lastRenderedPageBreak/>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41697237"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xml:space="preserve">: </w:t>
                  </w:r>
                  <w:r w:rsidR="007B2144">
                    <w:rPr>
                      <w:rFonts w:eastAsia="Calibri" w:cstheme="minorHAnsi"/>
                      <w:szCs w:val="20"/>
                      <w:lang w:eastAsia="lv-LV"/>
                    </w:rPr>
                    <w:t>Granīta iela 27, Acone</w:t>
                  </w:r>
                  <w:r w:rsidR="00A47379" w:rsidRPr="0095268C">
                    <w:rPr>
                      <w:rFonts w:eastAsia="Calibri" w:cstheme="minorHAnsi"/>
                      <w:szCs w:val="20"/>
                      <w:lang w:eastAsia="lv-LV"/>
                    </w:rPr>
                    <w:t>,</w:t>
                  </w:r>
                  <w:r w:rsidR="007B2144">
                    <w:rPr>
                      <w:rFonts w:eastAsia="Calibri" w:cstheme="minorHAnsi"/>
                      <w:szCs w:val="20"/>
                      <w:lang w:eastAsia="lv-LV"/>
                    </w:rPr>
                    <w:t xml:space="preserve"> Salaspils pag., Salaspils novads,</w:t>
                  </w:r>
                  <w:r w:rsidR="00A47379" w:rsidRPr="0095268C">
                    <w:rPr>
                      <w:rFonts w:eastAsia="Calibri" w:cstheme="minorHAnsi"/>
                      <w:szCs w:val="20"/>
                      <w:lang w:eastAsia="lv-LV"/>
                    </w:rPr>
                    <w:t xml:space="preserve"> LV-</w:t>
                  </w:r>
                  <w:r w:rsidR="007B2144">
                    <w:rPr>
                      <w:rFonts w:eastAsia="Calibri" w:cstheme="minorHAnsi"/>
                      <w:szCs w:val="20"/>
                      <w:lang w:eastAsia="lv-LV"/>
                    </w:rPr>
                    <w:t>2119</w:t>
                  </w:r>
                  <w:r w:rsidR="00A47379" w:rsidRPr="0095268C">
                    <w:rPr>
                      <w:rFonts w:eastAsia="Calibri" w:cstheme="minorHAnsi"/>
                      <w:szCs w:val="20"/>
                      <w:lang w:eastAsia="lv-LV"/>
                    </w:rPr>
                    <w:t>,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lastRenderedPageBreak/>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rsidTr="0078047D">
        <w:tc>
          <w:tcPr>
            <w:tcW w:w="4675" w:type="dxa"/>
            <w:shd w:val="clear" w:color="auto" w:fill="D9D9D9" w:themeFill="background1" w:themeFillShade="D9"/>
          </w:tcPr>
          <w:p w14:paraId="7AF5C314" w14:textId="77777777" w:rsidR="00D06A7A" w:rsidRPr="0095268C" w:rsidRDefault="00D06A7A" w:rsidP="0078047D">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rsidP="0078047D">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rsidTr="0078047D">
        <w:tc>
          <w:tcPr>
            <w:tcW w:w="4675" w:type="dxa"/>
          </w:tcPr>
          <w:p w14:paraId="51AE029C"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rsidTr="0078047D">
        <w:tc>
          <w:tcPr>
            <w:tcW w:w="4675" w:type="dxa"/>
          </w:tcPr>
          <w:p w14:paraId="623D29B5" w14:textId="77777777" w:rsidR="00D06A7A" w:rsidRPr="00D97232" w:rsidRDefault="00D06A7A" w:rsidP="0078047D">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rsidTr="0078047D">
        <w:tc>
          <w:tcPr>
            <w:tcW w:w="4675" w:type="dxa"/>
          </w:tcPr>
          <w:p w14:paraId="5D6FDDEB" w14:textId="77777777" w:rsidR="00D06A7A" w:rsidRPr="00D97232" w:rsidRDefault="00D06A7A" w:rsidP="0078047D">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rsidP="0078047D">
                <w:pPr>
                  <w:rPr>
                    <w:szCs w:val="20"/>
                  </w:rPr>
                </w:pPr>
                <w:r w:rsidRPr="00D97232">
                  <w:rPr>
                    <w:szCs w:val="20"/>
                  </w:rPr>
                  <w:t>[tālruņa numurs]</w:t>
                </w:r>
              </w:p>
            </w:sdtContent>
          </w:sdt>
        </w:tc>
      </w:tr>
      <w:tr w:rsidR="00D06A7A" w:rsidRPr="00D97232" w14:paraId="0AA65A17" w14:textId="77777777" w:rsidTr="0078047D">
        <w:tc>
          <w:tcPr>
            <w:tcW w:w="4675" w:type="dxa"/>
          </w:tcPr>
          <w:p w14:paraId="14E16CAA" w14:textId="77777777" w:rsidR="00D06A7A" w:rsidRPr="00D97232" w:rsidRDefault="00D06A7A" w:rsidP="0078047D">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rsidP="0078047D">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rsidTr="0078047D">
        <w:tc>
          <w:tcPr>
            <w:tcW w:w="4675" w:type="dxa"/>
            <w:shd w:val="clear" w:color="auto" w:fill="FFFF00"/>
          </w:tcPr>
          <w:p w14:paraId="1C5EFBF6" w14:textId="77777777" w:rsidR="00D06A7A" w:rsidRPr="00D97232" w:rsidRDefault="00D06A7A" w:rsidP="0078047D">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rsidTr="0078047D">
        <w:tc>
          <w:tcPr>
            <w:tcW w:w="4675" w:type="dxa"/>
          </w:tcPr>
          <w:p w14:paraId="476A1FA5"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rsidTr="0078047D">
        <w:tc>
          <w:tcPr>
            <w:tcW w:w="4675" w:type="dxa"/>
          </w:tcPr>
          <w:p w14:paraId="312B618A" w14:textId="77777777" w:rsidR="00D06A7A" w:rsidRPr="00D97232" w:rsidRDefault="00D06A7A" w:rsidP="0078047D">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rsidP="0078047D">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rsidTr="0078047D">
        <w:tc>
          <w:tcPr>
            <w:tcW w:w="4675" w:type="dxa"/>
            <w:shd w:val="clear" w:color="auto" w:fill="D9D9D9" w:themeFill="background1" w:themeFillShade="D9"/>
          </w:tcPr>
          <w:p w14:paraId="057B2CBA" w14:textId="77777777" w:rsidR="00D06A7A" w:rsidRPr="00475539" w:rsidRDefault="00D06A7A" w:rsidP="0078047D">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rsidP="0078047D">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rsidTr="0078047D">
        <w:tc>
          <w:tcPr>
            <w:tcW w:w="4675" w:type="dxa"/>
          </w:tcPr>
          <w:p w14:paraId="404AFBB3" w14:textId="77777777" w:rsidR="00D06A7A" w:rsidRPr="0095268C" w:rsidRDefault="00D06A7A" w:rsidP="0078047D">
            <w:r w:rsidRPr="0095268C">
              <w:t>Vārds, Uzvārds:</w:t>
            </w:r>
          </w:p>
        </w:tc>
        <w:tc>
          <w:tcPr>
            <w:tcW w:w="4675" w:type="dxa"/>
          </w:tcPr>
          <w:p w14:paraId="17A6CD55" w14:textId="4834C3EA" w:rsidR="00D06A7A" w:rsidRPr="0095268C" w:rsidRDefault="000F100C" w:rsidP="0078047D">
            <w:r>
              <w:t>Margarita Šilinika</w:t>
            </w:r>
          </w:p>
        </w:tc>
      </w:tr>
      <w:tr w:rsidR="00D06A7A" w:rsidRPr="0095268C" w14:paraId="46E3CB3A" w14:textId="77777777" w:rsidTr="0078047D">
        <w:tc>
          <w:tcPr>
            <w:tcW w:w="4675" w:type="dxa"/>
          </w:tcPr>
          <w:p w14:paraId="676FD563" w14:textId="77777777" w:rsidR="00D06A7A" w:rsidRPr="0095268C" w:rsidRDefault="00D06A7A" w:rsidP="0078047D">
            <w:r w:rsidRPr="0095268C">
              <w:t>Pasta adrese*:</w:t>
            </w:r>
          </w:p>
        </w:tc>
        <w:tc>
          <w:tcPr>
            <w:tcW w:w="4675" w:type="dxa"/>
          </w:tcPr>
          <w:p w14:paraId="485A2FAD" w14:textId="2B96DEA8" w:rsidR="00D06A7A" w:rsidRPr="0095268C" w:rsidRDefault="00F0169B" w:rsidP="0078047D">
            <w:r>
              <w:t>Granīta iela 27, Aocne, Salaspils pag., Salaspils novads, LV-2119</w:t>
            </w:r>
          </w:p>
        </w:tc>
      </w:tr>
      <w:tr w:rsidR="00D06A7A" w:rsidRPr="0095268C" w14:paraId="6A3984E7" w14:textId="77777777" w:rsidTr="0078047D">
        <w:tc>
          <w:tcPr>
            <w:tcW w:w="4675" w:type="dxa"/>
          </w:tcPr>
          <w:p w14:paraId="2BF83F92" w14:textId="77777777" w:rsidR="00D06A7A" w:rsidRPr="0095268C" w:rsidRDefault="00D06A7A" w:rsidP="0078047D">
            <w:r w:rsidRPr="0095268C">
              <w:t>Tālruņa numurs*:</w:t>
            </w:r>
          </w:p>
        </w:tc>
        <w:tc>
          <w:tcPr>
            <w:tcW w:w="4675" w:type="dxa"/>
          </w:tcPr>
          <w:p w14:paraId="6DAB9329" w14:textId="6841E064" w:rsidR="00D06A7A" w:rsidRPr="0095268C" w:rsidRDefault="001F15C8" w:rsidP="0078047D">
            <w:r>
              <w:t>25676545</w:t>
            </w:r>
          </w:p>
        </w:tc>
      </w:tr>
      <w:tr w:rsidR="00D06A7A" w:rsidRPr="0095268C" w14:paraId="3503D684" w14:textId="77777777" w:rsidTr="0078047D">
        <w:tc>
          <w:tcPr>
            <w:tcW w:w="4675" w:type="dxa"/>
          </w:tcPr>
          <w:p w14:paraId="3BAC793F" w14:textId="77777777" w:rsidR="00D06A7A" w:rsidRPr="0095268C" w:rsidRDefault="00D06A7A" w:rsidP="0078047D">
            <w:r w:rsidRPr="0095268C">
              <w:t>E-pasta adrese*:</w:t>
            </w:r>
          </w:p>
        </w:tc>
        <w:tc>
          <w:tcPr>
            <w:tcW w:w="4675" w:type="dxa"/>
          </w:tcPr>
          <w:p w14:paraId="62B42BDE" w14:textId="77777777" w:rsidR="00D06A7A" w:rsidRPr="0095268C" w:rsidRDefault="00D06A7A" w:rsidP="0078047D">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rsidTr="0078047D">
        <w:tc>
          <w:tcPr>
            <w:tcW w:w="4675" w:type="dxa"/>
            <w:shd w:val="clear" w:color="auto" w:fill="FFFF00"/>
          </w:tcPr>
          <w:p w14:paraId="22E13AD8" w14:textId="77777777" w:rsidR="00D06A7A" w:rsidRPr="0095268C" w:rsidRDefault="00D06A7A" w:rsidP="0078047D">
            <w:r w:rsidRPr="0095268C">
              <w:t>E-pasta adrese*:</w:t>
            </w:r>
          </w:p>
        </w:tc>
        <w:tc>
          <w:tcPr>
            <w:tcW w:w="4675" w:type="dxa"/>
            <w:shd w:val="clear" w:color="auto" w:fill="FFFF00"/>
          </w:tcPr>
          <w:p w14:paraId="359B29DD" w14:textId="77777777" w:rsidR="00D06A7A" w:rsidRPr="0095268C" w:rsidRDefault="00D06A7A" w:rsidP="0078047D">
            <w:r w:rsidRPr="0095268C">
              <w:t>iepakotajs@dio.lv</w:t>
            </w:r>
          </w:p>
        </w:tc>
      </w:tr>
      <w:tr w:rsidR="00D06A7A" w:rsidRPr="0095268C" w14:paraId="02557B6C" w14:textId="77777777" w:rsidTr="0078047D">
        <w:tc>
          <w:tcPr>
            <w:tcW w:w="4675" w:type="dxa"/>
          </w:tcPr>
          <w:p w14:paraId="09761D3F" w14:textId="77777777" w:rsidR="00D06A7A" w:rsidRPr="0095268C" w:rsidRDefault="00D06A7A" w:rsidP="0078047D">
            <w:r w:rsidRPr="0095268C">
              <w:t>Tālruņa numurs*:</w:t>
            </w:r>
          </w:p>
        </w:tc>
        <w:tc>
          <w:tcPr>
            <w:tcW w:w="4675" w:type="dxa"/>
          </w:tcPr>
          <w:p w14:paraId="134CBF59" w14:textId="727D5EAF" w:rsidR="00D06A7A" w:rsidRPr="0095268C" w:rsidRDefault="001F15C8" w:rsidP="0078047D">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rsidTr="00A13029">
        <w:tc>
          <w:tcPr>
            <w:tcW w:w="9057" w:type="dxa"/>
            <w:gridSpan w:val="2"/>
          </w:tcPr>
          <w:p w14:paraId="3C23CFBB" w14:textId="77777777" w:rsidR="00DB5861" w:rsidRPr="0095268C" w:rsidRDefault="00DB5861" w:rsidP="00A13029">
            <w:pPr>
              <w:spacing w:before="120" w:after="120"/>
              <w:rPr>
                <w:b/>
                <w:szCs w:val="20"/>
              </w:rPr>
            </w:pPr>
          </w:p>
          <w:p w14:paraId="44E5049C" w14:textId="77777777" w:rsidR="00DB5861" w:rsidRPr="0095268C" w:rsidRDefault="00DB5861" w:rsidP="00A13029">
            <w:pPr>
              <w:spacing w:before="120" w:after="120"/>
              <w:rPr>
                <w:b/>
                <w:szCs w:val="20"/>
              </w:rPr>
            </w:pPr>
            <w:r w:rsidRPr="0095268C">
              <w:rPr>
                <w:b/>
                <w:szCs w:val="20"/>
              </w:rPr>
              <w:t>PUŠU PARAKSTI:</w:t>
            </w:r>
          </w:p>
          <w:p w14:paraId="20EEC00C" w14:textId="77777777" w:rsidR="00DB5861" w:rsidRPr="0095268C" w:rsidRDefault="00DB5861" w:rsidP="00A13029">
            <w:pPr>
              <w:spacing w:before="120" w:after="120"/>
              <w:rPr>
                <w:b/>
                <w:szCs w:val="20"/>
              </w:rPr>
            </w:pPr>
          </w:p>
        </w:tc>
      </w:tr>
      <w:tr w:rsidR="00DB5861" w:rsidRPr="0095268C" w14:paraId="0CAD6D74" w14:textId="77777777" w:rsidTr="00A13029">
        <w:tc>
          <w:tcPr>
            <w:tcW w:w="4995" w:type="dxa"/>
          </w:tcPr>
          <w:p w14:paraId="772C1324" w14:textId="77777777" w:rsidR="00DB5861" w:rsidRPr="0095268C" w:rsidRDefault="00DB5861" w:rsidP="00A13029">
            <w:pPr>
              <w:spacing w:before="120" w:after="120"/>
              <w:rPr>
                <w:b/>
                <w:szCs w:val="20"/>
              </w:rPr>
            </w:pPr>
            <w:r w:rsidRPr="0095268C">
              <w:rPr>
                <w:b/>
                <w:szCs w:val="20"/>
              </w:rPr>
              <w:t>DIO vārdā:</w:t>
            </w:r>
          </w:p>
          <w:p w14:paraId="70E74B9B" w14:textId="77777777" w:rsidR="00DB5861" w:rsidRPr="0095268C" w:rsidRDefault="00DB5861" w:rsidP="00A13029">
            <w:pPr>
              <w:spacing w:before="120" w:after="120"/>
              <w:rPr>
                <w:b/>
                <w:szCs w:val="20"/>
              </w:rPr>
            </w:pPr>
          </w:p>
        </w:tc>
        <w:tc>
          <w:tcPr>
            <w:tcW w:w="4062" w:type="dxa"/>
          </w:tcPr>
          <w:p w14:paraId="744C7011" w14:textId="77777777" w:rsidR="00DB5861" w:rsidRPr="0095268C" w:rsidRDefault="00DB5861" w:rsidP="00A13029">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rsidP="00A13029">
            <w:pPr>
              <w:spacing w:before="120" w:after="120"/>
              <w:jc w:val="both"/>
              <w:rPr>
                <w:b/>
                <w:szCs w:val="20"/>
              </w:rPr>
            </w:pPr>
          </w:p>
        </w:tc>
      </w:tr>
      <w:tr w:rsidR="00DB5861" w:rsidRPr="0095268C" w14:paraId="05E80BC4" w14:textId="77777777" w:rsidTr="00A13029">
        <w:tc>
          <w:tcPr>
            <w:tcW w:w="4995" w:type="dxa"/>
          </w:tcPr>
          <w:p w14:paraId="744CC35E" w14:textId="77777777" w:rsidR="00DB5861" w:rsidRPr="0095268C" w:rsidRDefault="00DB5861" w:rsidP="00A13029">
            <w:pPr>
              <w:spacing w:before="120" w:after="120"/>
              <w:jc w:val="both"/>
              <w:rPr>
                <w:i/>
                <w:szCs w:val="20"/>
              </w:rPr>
            </w:pPr>
            <w:r w:rsidRPr="0095268C">
              <w:rPr>
                <w:i/>
                <w:szCs w:val="20"/>
              </w:rPr>
              <w:t>______________________________________</w:t>
            </w:r>
          </w:p>
          <w:p w14:paraId="3FEFF13F" w14:textId="77777777" w:rsidR="00DB5861" w:rsidRPr="00475539" w:rsidRDefault="00DB5861" w:rsidP="00A13029">
            <w:pPr>
              <w:spacing w:before="120" w:after="120"/>
              <w:jc w:val="both"/>
              <w:rPr>
                <w:iCs/>
                <w:szCs w:val="20"/>
              </w:rPr>
            </w:pPr>
            <w:r w:rsidRPr="00475539">
              <w:rPr>
                <w:iCs/>
                <w:szCs w:val="20"/>
              </w:rPr>
              <w:t>Diana Imaka</w:t>
            </w:r>
          </w:p>
          <w:p w14:paraId="7306E0B7" w14:textId="77777777" w:rsidR="00DB5861" w:rsidRPr="0095268C" w:rsidRDefault="00DB5861" w:rsidP="00A13029">
            <w:pPr>
              <w:spacing w:before="120" w:after="120"/>
              <w:jc w:val="both"/>
              <w:rPr>
                <w:i/>
                <w:szCs w:val="20"/>
              </w:rPr>
            </w:pPr>
          </w:p>
        </w:tc>
        <w:tc>
          <w:tcPr>
            <w:tcW w:w="4062" w:type="dxa"/>
          </w:tcPr>
          <w:p w14:paraId="69E7BCB9" w14:textId="77777777" w:rsidR="00DB5861" w:rsidRPr="0095268C" w:rsidRDefault="00DB5861" w:rsidP="00A13029">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rsidP="00A13029">
                <w:pPr>
                  <w:spacing w:before="120" w:after="120"/>
                  <w:jc w:val="both"/>
                  <w:rPr>
                    <w:iCs/>
                    <w:szCs w:val="20"/>
                  </w:rPr>
                </w:pPr>
                <w:r w:rsidRPr="00D97232">
                  <w:rPr>
                    <w:iCs/>
                    <w:szCs w:val="20"/>
                  </w:rPr>
                  <w:t>Vārds, Uzvārds</w:t>
                </w:r>
              </w:p>
            </w:sdtContent>
          </w:sdt>
          <w:p w14:paraId="7FF21A4D" w14:textId="77777777" w:rsidR="00DB5861" w:rsidRPr="0095268C" w:rsidRDefault="00DB5861" w:rsidP="00A13029">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lastRenderedPageBreak/>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rsidTr="0078047D">
        <w:trPr>
          <w:gridAfter w:val="1"/>
          <w:wAfter w:w="142" w:type="dxa"/>
        </w:trPr>
        <w:tc>
          <w:tcPr>
            <w:tcW w:w="8964" w:type="dxa"/>
          </w:tcPr>
          <w:p w14:paraId="599F9512" w14:textId="77777777" w:rsidR="00D06A7A" w:rsidRDefault="00D06A7A" w:rsidP="0078047D">
            <w:pPr>
              <w:rPr>
                <w:rFonts w:asciiTheme="majorBidi" w:eastAsia="Cambria" w:hAnsiTheme="majorBidi" w:cstheme="majorBidi"/>
                <w:b/>
                <w:bCs/>
                <w:i/>
                <w:szCs w:val="20"/>
              </w:rPr>
            </w:pPr>
          </w:p>
          <w:p w14:paraId="019A16F7" w14:textId="6D5E66ED" w:rsidR="004332FA" w:rsidRPr="0095268C" w:rsidRDefault="004332FA" w:rsidP="0078047D">
            <w:pPr>
              <w:rPr>
                <w:rFonts w:asciiTheme="majorBidi" w:eastAsia="Cambria" w:hAnsiTheme="majorBidi" w:cstheme="majorBidi"/>
                <w:b/>
                <w:bCs/>
                <w:i/>
                <w:szCs w:val="20"/>
              </w:rPr>
            </w:pPr>
          </w:p>
        </w:tc>
      </w:tr>
      <w:tr w:rsidR="00D06A7A" w:rsidRPr="0095268C" w14:paraId="4805EFA7" w14:textId="77777777" w:rsidTr="0078047D">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rsidTr="0078047D">
        <w:tc>
          <w:tcPr>
            <w:tcW w:w="9106" w:type="dxa"/>
            <w:gridSpan w:val="2"/>
          </w:tcPr>
          <w:p w14:paraId="26C7AF8A" w14:textId="2DF01758" w:rsidR="00D06A7A" w:rsidRPr="0095268C" w:rsidRDefault="00572C8C"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rsidTr="0078047D">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rsidTr="0078047D">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rsidTr="0078047D">
        <w:tc>
          <w:tcPr>
            <w:tcW w:w="9106" w:type="dxa"/>
            <w:gridSpan w:val="2"/>
          </w:tcPr>
          <w:p w14:paraId="1671278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Pr="0095268C">
                <w:rPr>
                  <w:rStyle w:val="Hyperlink"/>
                </w:rPr>
                <w:t>www.dio.lv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Pr="0095268C">
                <w:rPr>
                  <w:rStyle w:val="Hyperlink"/>
                </w:rPr>
                <w:t>www.dio.lv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rsidTr="0078047D">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rsidTr="0078047D">
        <w:tc>
          <w:tcPr>
            <w:tcW w:w="9057" w:type="dxa"/>
            <w:gridSpan w:val="2"/>
          </w:tcPr>
          <w:p w14:paraId="693EF563" w14:textId="77777777" w:rsidR="00D06A7A" w:rsidRPr="0095268C" w:rsidRDefault="00D06A7A" w:rsidP="0078047D">
            <w:pPr>
              <w:spacing w:before="120" w:after="120"/>
              <w:rPr>
                <w:b/>
                <w:szCs w:val="20"/>
              </w:rPr>
            </w:pPr>
          </w:p>
          <w:p w14:paraId="2F58B53A" w14:textId="77777777" w:rsidR="00D06A7A" w:rsidRPr="0095268C" w:rsidRDefault="00D06A7A" w:rsidP="0078047D">
            <w:pPr>
              <w:spacing w:before="120" w:after="120"/>
              <w:rPr>
                <w:b/>
                <w:szCs w:val="20"/>
              </w:rPr>
            </w:pPr>
            <w:r w:rsidRPr="0095268C">
              <w:rPr>
                <w:b/>
                <w:szCs w:val="20"/>
              </w:rPr>
              <w:t>PUŠU PARAKSTI:</w:t>
            </w:r>
          </w:p>
          <w:p w14:paraId="792D38E0" w14:textId="77777777" w:rsidR="00D06A7A" w:rsidRPr="0095268C" w:rsidRDefault="00D06A7A" w:rsidP="0078047D">
            <w:pPr>
              <w:spacing w:before="120" w:after="120"/>
              <w:rPr>
                <w:b/>
                <w:szCs w:val="20"/>
              </w:rPr>
            </w:pPr>
          </w:p>
        </w:tc>
      </w:tr>
      <w:tr w:rsidR="00D06A7A" w:rsidRPr="0095268C" w14:paraId="4C631AC4" w14:textId="77777777" w:rsidTr="0078047D">
        <w:tc>
          <w:tcPr>
            <w:tcW w:w="4995" w:type="dxa"/>
          </w:tcPr>
          <w:p w14:paraId="316A1B97" w14:textId="77777777" w:rsidR="00D06A7A" w:rsidRPr="0095268C" w:rsidRDefault="00D06A7A" w:rsidP="0078047D">
            <w:pPr>
              <w:spacing w:before="120" w:after="120"/>
              <w:rPr>
                <w:b/>
                <w:szCs w:val="20"/>
              </w:rPr>
            </w:pPr>
            <w:r w:rsidRPr="0095268C">
              <w:rPr>
                <w:b/>
                <w:szCs w:val="20"/>
              </w:rPr>
              <w:t>DIO vārdā:</w:t>
            </w:r>
          </w:p>
          <w:p w14:paraId="4EB12BA6" w14:textId="77777777" w:rsidR="00D06A7A" w:rsidRPr="0095268C" w:rsidRDefault="00D06A7A" w:rsidP="0078047D">
            <w:pPr>
              <w:spacing w:before="120" w:after="120"/>
              <w:rPr>
                <w:b/>
                <w:szCs w:val="20"/>
              </w:rPr>
            </w:pPr>
          </w:p>
        </w:tc>
        <w:tc>
          <w:tcPr>
            <w:tcW w:w="4062" w:type="dxa"/>
          </w:tcPr>
          <w:p w14:paraId="7DE45731" w14:textId="77777777" w:rsidR="00D06A7A" w:rsidRPr="0095268C" w:rsidRDefault="00D06A7A" w:rsidP="0078047D">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rsidP="0078047D">
            <w:pPr>
              <w:spacing w:before="120" w:after="120"/>
              <w:jc w:val="both"/>
              <w:rPr>
                <w:b/>
                <w:szCs w:val="20"/>
              </w:rPr>
            </w:pPr>
          </w:p>
        </w:tc>
      </w:tr>
      <w:tr w:rsidR="00D06A7A" w:rsidRPr="000909FD" w14:paraId="04900F63" w14:textId="77777777" w:rsidTr="0078047D">
        <w:tc>
          <w:tcPr>
            <w:tcW w:w="4995" w:type="dxa"/>
          </w:tcPr>
          <w:p w14:paraId="1106BC0E" w14:textId="77777777" w:rsidR="00D06A7A" w:rsidRPr="0095268C" w:rsidRDefault="00D06A7A" w:rsidP="0078047D">
            <w:pPr>
              <w:spacing w:before="120" w:after="120"/>
              <w:jc w:val="both"/>
              <w:rPr>
                <w:i/>
                <w:szCs w:val="20"/>
              </w:rPr>
            </w:pPr>
            <w:r w:rsidRPr="0095268C">
              <w:rPr>
                <w:i/>
                <w:szCs w:val="20"/>
              </w:rPr>
              <w:t>______________________________________</w:t>
            </w:r>
          </w:p>
          <w:p w14:paraId="4A691950" w14:textId="52476B4C" w:rsidR="00D06A7A" w:rsidRPr="00475539" w:rsidRDefault="009C04A5" w:rsidP="0078047D">
            <w:pPr>
              <w:spacing w:before="120" w:after="120"/>
              <w:jc w:val="both"/>
              <w:rPr>
                <w:iCs/>
                <w:szCs w:val="20"/>
              </w:rPr>
            </w:pPr>
            <w:r w:rsidRPr="00475539">
              <w:rPr>
                <w:iCs/>
                <w:szCs w:val="20"/>
              </w:rPr>
              <w:t>Diana Imaka</w:t>
            </w:r>
          </w:p>
          <w:p w14:paraId="3CFCDCB1" w14:textId="77777777" w:rsidR="00D06A7A" w:rsidRPr="0095268C" w:rsidRDefault="00D06A7A" w:rsidP="0078047D">
            <w:pPr>
              <w:spacing w:before="120" w:after="120"/>
              <w:jc w:val="both"/>
              <w:rPr>
                <w:i/>
                <w:szCs w:val="20"/>
              </w:rPr>
            </w:pPr>
          </w:p>
        </w:tc>
        <w:tc>
          <w:tcPr>
            <w:tcW w:w="4062" w:type="dxa"/>
          </w:tcPr>
          <w:p w14:paraId="4BAB48D8" w14:textId="77777777" w:rsidR="00D06A7A" w:rsidRPr="0095268C" w:rsidRDefault="00D06A7A" w:rsidP="0078047D">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rsidP="0078047D">
                <w:pPr>
                  <w:spacing w:before="120" w:after="120"/>
                  <w:jc w:val="both"/>
                  <w:rPr>
                    <w:iCs/>
                    <w:szCs w:val="20"/>
                  </w:rPr>
                </w:pPr>
                <w:r w:rsidRPr="00D97232">
                  <w:rPr>
                    <w:iCs/>
                    <w:szCs w:val="20"/>
                  </w:rPr>
                  <w:t>Vārds, Uzvārds</w:t>
                </w:r>
              </w:p>
            </w:sdtContent>
          </w:sdt>
          <w:p w14:paraId="454BB5F3" w14:textId="77777777" w:rsidR="00D06A7A" w:rsidRPr="000909FD" w:rsidRDefault="00D06A7A" w:rsidP="0078047D">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501049">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6A2E" w14:textId="77777777" w:rsidR="005133EF" w:rsidRDefault="005133EF" w:rsidP="00562A52">
      <w:r>
        <w:separator/>
      </w:r>
    </w:p>
    <w:p w14:paraId="475935E9" w14:textId="77777777" w:rsidR="005133EF" w:rsidRDefault="005133EF"/>
  </w:endnote>
  <w:endnote w:type="continuationSeparator" w:id="0">
    <w:p w14:paraId="7EB4981A" w14:textId="77777777" w:rsidR="005133EF" w:rsidRDefault="005133EF" w:rsidP="00562A52">
      <w:r>
        <w:continuationSeparator/>
      </w:r>
    </w:p>
    <w:p w14:paraId="713C298F" w14:textId="77777777" w:rsidR="005133EF" w:rsidRDefault="00513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FDCD" w14:textId="77777777" w:rsidR="005133EF" w:rsidRDefault="005133EF" w:rsidP="00562A52">
      <w:r>
        <w:separator/>
      </w:r>
    </w:p>
    <w:p w14:paraId="30385D6B" w14:textId="77777777" w:rsidR="005133EF" w:rsidRDefault="005133EF"/>
  </w:footnote>
  <w:footnote w:type="continuationSeparator" w:id="0">
    <w:p w14:paraId="16286451" w14:textId="77777777" w:rsidR="005133EF" w:rsidRDefault="005133EF" w:rsidP="00562A52">
      <w:r>
        <w:continuationSeparator/>
      </w:r>
    </w:p>
    <w:p w14:paraId="269D2369" w14:textId="77777777" w:rsidR="005133EF" w:rsidRDefault="005133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78498">
    <w:abstractNumId w:val="9"/>
  </w:num>
  <w:num w:numId="2" w16cid:durableId="1687442146">
    <w:abstractNumId w:val="29"/>
  </w:num>
  <w:num w:numId="3" w16cid:durableId="2133210378">
    <w:abstractNumId w:val="10"/>
  </w:num>
  <w:num w:numId="4" w16cid:durableId="1364134282">
    <w:abstractNumId w:val="43"/>
  </w:num>
  <w:num w:numId="5" w16cid:durableId="1255362726">
    <w:abstractNumId w:val="36"/>
  </w:num>
  <w:num w:numId="6" w16cid:durableId="147326885">
    <w:abstractNumId w:val="5"/>
  </w:num>
  <w:num w:numId="7" w16cid:durableId="2075855303">
    <w:abstractNumId w:val="20"/>
  </w:num>
  <w:num w:numId="8" w16cid:durableId="2051490791">
    <w:abstractNumId w:val="14"/>
  </w:num>
  <w:num w:numId="9" w16cid:durableId="1987935145">
    <w:abstractNumId w:val="38"/>
  </w:num>
  <w:num w:numId="10" w16cid:durableId="516425778">
    <w:abstractNumId w:val="25"/>
  </w:num>
  <w:num w:numId="11" w16cid:durableId="1881626007">
    <w:abstractNumId w:val="37"/>
  </w:num>
  <w:num w:numId="12" w16cid:durableId="1280646827">
    <w:abstractNumId w:val="39"/>
  </w:num>
  <w:num w:numId="13" w16cid:durableId="151335411">
    <w:abstractNumId w:val="19"/>
  </w:num>
  <w:num w:numId="14" w16cid:durableId="1138302118">
    <w:abstractNumId w:val="40"/>
  </w:num>
  <w:num w:numId="15" w16cid:durableId="1583562458">
    <w:abstractNumId w:val="22"/>
  </w:num>
  <w:num w:numId="16" w16cid:durableId="716970229">
    <w:abstractNumId w:val="27"/>
  </w:num>
  <w:num w:numId="17" w16cid:durableId="221794294">
    <w:abstractNumId w:val="7"/>
  </w:num>
  <w:num w:numId="18" w16cid:durableId="415712327">
    <w:abstractNumId w:val="34"/>
  </w:num>
  <w:num w:numId="19" w16cid:durableId="1104687496">
    <w:abstractNumId w:val="42"/>
  </w:num>
  <w:num w:numId="20" w16cid:durableId="1631595034">
    <w:abstractNumId w:val="11"/>
  </w:num>
  <w:num w:numId="21" w16cid:durableId="1626421815">
    <w:abstractNumId w:val="41"/>
  </w:num>
  <w:num w:numId="22" w16cid:durableId="599029978">
    <w:abstractNumId w:val="23"/>
  </w:num>
  <w:num w:numId="23" w16cid:durableId="801114437">
    <w:abstractNumId w:val="18"/>
  </w:num>
  <w:num w:numId="24" w16cid:durableId="1796480766">
    <w:abstractNumId w:val="30"/>
  </w:num>
  <w:num w:numId="25" w16cid:durableId="1666517731">
    <w:abstractNumId w:val="24"/>
  </w:num>
  <w:num w:numId="26" w16cid:durableId="310523806">
    <w:abstractNumId w:val="16"/>
  </w:num>
  <w:num w:numId="27" w16cid:durableId="698433058">
    <w:abstractNumId w:val="6"/>
  </w:num>
  <w:num w:numId="28" w16cid:durableId="1099986454">
    <w:abstractNumId w:val="12"/>
  </w:num>
  <w:num w:numId="29" w16cid:durableId="1800416837">
    <w:abstractNumId w:val="4"/>
  </w:num>
  <w:num w:numId="30" w16cid:durableId="1132137354">
    <w:abstractNumId w:val="15"/>
  </w:num>
  <w:num w:numId="31" w16cid:durableId="753014353">
    <w:abstractNumId w:val="1"/>
  </w:num>
  <w:num w:numId="32" w16cid:durableId="2058505467">
    <w:abstractNumId w:val="17"/>
  </w:num>
  <w:num w:numId="33" w16cid:durableId="1067462492">
    <w:abstractNumId w:val="21"/>
  </w:num>
  <w:num w:numId="34" w16cid:durableId="812718300">
    <w:abstractNumId w:val="2"/>
  </w:num>
  <w:num w:numId="35" w16cid:durableId="1063874501">
    <w:abstractNumId w:val="32"/>
  </w:num>
  <w:num w:numId="36" w16cid:durableId="1865434265">
    <w:abstractNumId w:val="33"/>
  </w:num>
  <w:num w:numId="37" w16cid:durableId="1763336249">
    <w:abstractNumId w:val="28"/>
  </w:num>
  <w:num w:numId="38" w16cid:durableId="44068285">
    <w:abstractNumId w:val="0"/>
  </w:num>
  <w:num w:numId="39" w16cid:durableId="1927222212">
    <w:abstractNumId w:val="26"/>
  </w:num>
  <w:num w:numId="40" w16cid:durableId="824276891">
    <w:abstractNumId w:val="3"/>
  </w:num>
  <w:num w:numId="41" w16cid:durableId="1814058546">
    <w:abstractNumId w:val="31"/>
  </w:num>
  <w:num w:numId="42" w16cid:durableId="1471168609">
    <w:abstractNumId w:val="8"/>
  </w:num>
  <w:num w:numId="43" w16cid:durableId="2130974801">
    <w:abstractNumId w:val="35"/>
  </w:num>
  <w:num w:numId="44" w16cid:durableId="791898273">
    <w:abstractNumId w:val="13"/>
  </w:num>
  <w:num w:numId="45" w16cid:durableId="118000545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0CtjIRA/yAYfJgwSlvvKADqGit3aEselsbXk7kvCU+rXuHkI3ptx8gXC7s9xzXWI10y4ffTwQ4ozv7MU+yShg==" w:salt="UaFnmnggnJ0SfDz2JpBOSQ=="/>
  <w:defaultTabStop w:val="284"/>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348"/>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CA5"/>
    <w:rsid w:val="00053CD5"/>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1FB"/>
    <w:rsid w:val="00106678"/>
    <w:rsid w:val="001102E3"/>
    <w:rsid w:val="00110341"/>
    <w:rsid w:val="0011043F"/>
    <w:rsid w:val="00110CFA"/>
    <w:rsid w:val="001111E5"/>
    <w:rsid w:val="001119AF"/>
    <w:rsid w:val="00113270"/>
    <w:rsid w:val="00113419"/>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343"/>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47DE8"/>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3F69DD"/>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61D"/>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2050E"/>
    <w:rsid w:val="00420608"/>
    <w:rsid w:val="004209BA"/>
    <w:rsid w:val="004210CD"/>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49A9"/>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3EF"/>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C8C"/>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4F7"/>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D"/>
    <w:rsid w:val="00731524"/>
    <w:rsid w:val="00731AE4"/>
    <w:rsid w:val="00731BAC"/>
    <w:rsid w:val="00731CF9"/>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55B"/>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14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C2A"/>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4EFC"/>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434F"/>
    <w:rsid w:val="009D4377"/>
    <w:rsid w:val="009D5ADD"/>
    <w:rsid w:val="009E0D35"/>
    <w:rsid w:val="009E16D2"/>
    <w:rsid w:val="009E1A66"/>
    <w:rsid w:val="009E215A"/>
    <w:rsid w:val="009E2F2A"/>
    <w:rsid w:val="009E4DA8"/>
    <w:rsid w:val="009E68AF"/>
    <w:rsid w:val="009F0982"/>
    <w:rsid w:val="009F0C04"/>
    <w:rsid w:val="009F16D4"/>
    <w:rsid w:val="009F296A"/>
    <w:rsid w:val="009F2FB9"/>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A66"/>
    <w:rsid w:val="00B15671"/>
    <w:rsid w:val="00B159D9"/>
    <w:rsid w:val="00B16A2E"/>
    <w:rsid w:val="00B17300"/>
    <w:rsid w:val="00B2008D"/>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030"/>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5C2"/>
    <w:rsid w:val="00BE3D10"/>
    <w:rsid w:val="00BE3DF7"/>
    <w:rsid w:val="00BE623F"/>
    <w:rsid w:val="00BE67D2"/>
    <w:rsid w:val="00BF001A"/>
    <w:rsid w:val="00BF1656"/>
    <w:rsid w:val="00BF1C93"/>
    <w:rsid w:val="00BF2904"/>
    <w:rsid w:val="00BF2DB9"/>
    <w:rsid w:val="00BF48E3"/>
    <w:rsid w:val="00BF4970"/>
    <w:rsid w:val="00BF4D17"/>
    <w:rsid w:val="00BF58A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4F79"/>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45E5"/>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4DC7"/>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69B"/>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7ED01"/>
  <w15:docId w15:val="{00BD0990-B2DF-465C-9A16-3772B7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io.lv" TargetMode="External"/><Relationship Id="rId7" Type="http://schemas.openxmlformats.org/officeDocument/2006/relationships/settings" Target="settings.xml"/><Relationship Id="rId12" Type="http://schemas.openxmlformats.org/officeDocument/2006/relationships/hyperlink" Target="http://www.dio.lv" TargetMode="External"/><Relationship Id="rId17" Type="http://schemas.openxmlformats.org/officeDocument/2006/relationships/hyperlink" Target="http://www.dio.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o.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o.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
      <w:docPartPr>
        <w:name w:val="EAE050F0978A4EB2A9EE17A1E99E1800"/>
        <w:category>
          <w:name w:val="General"/>
          <w:gallery w:val="placeholder"/>
        </w:category>
        <w:types>
          <w:type w:val="bbPlcHdr"/>
        </w:types>
        <w:behaviors>
          <w:behavior w:val="content"/>
        </w:behaviors>
        <w:guid w:val="{61702192-1310-43B5-9046-B4BF24C3AA3B}"/>
      </w:docPartPr>
      <w:docPartBody>
        <w:p w:rsidR="00000000" w:rsidRDefault="002475D4" w:rsidP="002475D4">
          <w:pPr>
            <w:pStyle w:val="EAE050F0978A4EB2A9EE17A1E99E1800"/>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127A85"/>
    <w:rsid w:val="002475D4"/>
    <w:rsid w:val="00415831"/>
    <w:rsid w:val="005101DF"/>
    <w:rsid w:val="00540707"/>
    <w:rsid w:val="006631EF"/>
    <w:rsid w:val="00726A45"/>
    <w:rsid w:val="009D07C2"/>
    <w:rsid w:val="00A0097C"/>
    <w:rsid w:val="00A84F43"/>
    <w:rsid w:val="00D85AEC"/>
    <w:rsid w:val="00DA4BAB"/>
    <w:rsid w:val="00DA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5D4"/>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 w:type="paragraph" w:customStyle="1" w:styleId="EAE050F0978A4EB2A9EE17A1E99E1800">
    <w:name w:val="EAE050F0978A4EB2A9EE17A1E99E1800"/>
    <w:rsid w:val="002475D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7" ma:contentTypeDescription="Create a new document." ma:contentTypeScope="" ma:versionID="92d750d311effedf5b7ba7b41c9e41b1">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fa3f015ca9bf1314bc45a55ad1606a28"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 ds:uri="99b5edb1-c34a-450e-9944-4ee0c551af12"/>
  </ds:schemaRefs>
</ds:datastoreItem>
</file>

<file path=customXml/itemProps2.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customXml/itemProps3.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4.xml><?xml version="1.0" encoding="utf-8"?>
<ds:datastoreItem xmlns:ds="http://schemas.openxmlformats.org/officeDocument/2006/customXml" ds:itemID="{A7F127F8-8E6D-4E37-A264-7186FF6A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19</Pages>
  <Words>10750</Words>
  <Characters>61281</Characters>
  <Application>Microsoft Office Word</Application>
  <DocSecurity>0</DocSecurity>
  <Lines>510</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Margarita Šilinika</cp:lastModifiedBy>
  <cp:revision>29</cp:revision>
  <cp:lastPrinted>2015-10-06T04:59:00Z</cp:lastPrinted>
  <dcterms:created xsi:type="dcterms:W3CDTF">2021-08-24T14:57:00Z</dcterms:created>
  <dcterms:modified xsi:type="dcterms:W3CDTF">2023-01-30T08:06:00Z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